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4F" w:rsidRDefault="00430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:rsidR="006B394F" w:rsidRDefault="006B394F">
      <w:pPr>
        <w:rPr>
          <w:b/>
          <w:sz w:val="32"/>
          <w:szCs w:val="32"/>
          <w:u w:val="single"/>
        </w:rPr>
      </w:pPr>
    </w:p>
    <w:p w:rsidR="006B394F" w:rsidRDefault="00430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6B394F" w:rsidRDefault="006B394F">
      <w:pPr>
        <w:rPr>
          <w:b/>
          <w:sz w:val="24"/>
          <w:szCs w:val="24"/>
        </w:rPr>
      </w:pPr>
    </w:p>
    <w:p w:rsidR="00321CF9" w:rsidRDefault="0043020A">
      <w:pPr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1C3CE2" w:rsidRPr="001C3CE2">
        <w:rPr>
          <w:b/>
          <w:bCs/>
          <w:iCs/>
          <w:sz w:val="24"/>
          <w:szCs w:val="24"/>
        </w:rPr>
        <w:t>AQUISIÇÃO DE MATERIAIS DE CONSTRUÇÃO INCLUSOS ITENS HIDRÁULICOS E ELÉTRICOS, DESTINADOS À EXECUÇÃO DE SERVIÇOS COMPLEMENTARES REFERENTES À REFORMA DO TERMINAL RODOVIÁRIO DE BANDEIRANTES-PR.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394F" w:rsidRDefault="0043020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394F" w:rsidRDefault="0043020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tbl>
      <w:tblPr>
        <w:tblW w:w="10338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3402"/>
        <w:gridCol w:w="3827"/>
      </w:tblGrid>
      <w:tr w:rsidR="006B314C" w:rsidRPr="006B314C" w:rsidTr="001C3CE2">
        <w:trPr>
          <w:trHeight w:val="20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14C" w:rsidRPr="006B314C" w:rsidRDefault="006B314C" w:rsidP="006B314C">
            <w:pPr>
              <w:jc w:val="center"/>
              <w:rPr>
                <w:b/>
              </w:rPr>
            </w:pPr>
            <w:r w:rsidRPr="006B314C">
              <w:rPr>
                <w:b/>
              </w:rPr>
              <w:t>DOTAÇÃO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14C" w:rsidRPr="006B314C" w:rsidRDefault="006B314C" w:rsidP="006B314C">
            <w:pPr>
              <w:jc w:val="center"/>
              <w:rPr>
                <w:b/>
              </w:rPr>
            </w:pPr>
            <w:r w:rsidRPr="006B314C">
              <w:rPr>
                <w:b/>
              </w:rPr>
              <w:t>DESCRIÇÃO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14C" w:rsidRPr="006B314C" w:rsidRDefault="006B314C" w:rsidP="006B314C">
            <w:pPr>
              <w:jc w:val="center"/>
              <w:rPr>
                <w:b/>
              </w:rPr>
            </w:pPr>
            <w:r w:rsidRPr="006B314C">
              <w:rPr>
                <w:b/>
              </w:rPr>
              <w:t>RECURSO</w:t>
            </w:r>
          </w:p>
        </w:tc>
      </w:tr>
      <w:tr w:rsidR="001C3CE2" w:rsidRPr="006B314C" w:rsidTr="001C3CE2">
        <w:trPr>
          <w:trHeight w:val="430"/>
        </w:trPr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CE2" w:rsidRPr="00F71E26" w:rsidRDefault="001C3CE2" w:rsidP="001C3CE2">
            <w:r w:rsidRPr="00F71E26">
              <w:t>201 - 06.001.15.122.0419.5038.3.3.90.30.00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CE2" w:rsidRPr="00F71E26" w:rsidRDefault="001C3CE2" w:rsidP="001C3CE2">
            <w:r w:rsidRPr="00F71E26">
              <w:t>MANUTENÇÃO DA SECRETARIA DE OBRAS, SERVIÇOS E DESENVOLVIMENTO URBANO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CE2" w:rsidRPr="00F71E26" w:rsidRDefault="001C3CE2" w:rsidP="001C3CE2">
            <w:r w:rsidRPr="00F71E26">
              <w:t>00000/00000.01.07. 00.00.1.500.0000</w:t>
            </w:r>
          </w:p>
        </w:tc>
      </w:tr>
      <w:tr w:rsidR="001C3CE2" w:rsidRPr="006B314C" w:rsidTr="001C3CE2">
        <w:trPr>
          <w:trHeight w:val="430"/>
        </w:trPr>
        <w:tc>
          <w:tcPr>
            <w:tcW w:w="3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CE2" w:rsidRPr="00F71E26" w:rsidRDefault="001C3CE2" w:rsidP="001C3CE2">
            <w:r w:rsidRPr="00F71E26">
              <w:t>208 - 06.001.15.452.0421.5040.3.3.90.30.00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CE2" w:rsidRPr="00F71E26" w:rsidRDefault="001C3CE2" w:rsidP="001C3CE2">
            <w:r w:rsidRPr="00F71E26">
              <w:t>SERVIÇOS URBANOS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3CE2" w:rsidRDefault="001C3CE2" w:rsidP="001C3CE2">
            <w:r w:rsidRPr="00F71E26">
              <w:t>00000/00000.01.07. 00.00.1.500.0000</w:t>
            </w:r>
          </w:p>
        </w:tc>
      </w:tr>
    </w:tbl>
    <w:p w:rsidR="006B394F" w:rsidRDefault="006B394F">
      <w:pPr>
        <w:jc w:val="both"/>
        <w:rPr>
          <w:sz w:val="24"/>
          <w:szCs w:val="24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6B394F" w:rsidRDefault="006B394F">
      <w:pPr>
        <w:jc w:val="center"/>
        <w:rPr>
          <w:sz w:val="24"/>
          <w:szCs w:val="24"/>
        </w:rPr>
      </w:pPr>
    </w:p>
    <w:p w:rsidR="006B394F" w:rsidRDefault="00FB26C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923FFE">
        <w:rPr>
          <w:sz w:val="24"/>
          <w:szCs w:val="24"/>
        </w:rPr>
        <w:t>15 de dezembro de 2025</w:t>
      </w:r>
    </w:p>
    <w:p w:rsidR="001C3CE2" w:rsidRDefault="001C3CE2" w:rsidP="00A37D8B">
      <w:pPr>
        <w:rPr>
          <w:sz w:val="24"/>
          <w:szCs w:val="24"/>
        </w:rPr>
      </w:pPr>
    </w:p>
    <w:p w:rsidR="006B394F" w:rsidRDefault="006B394F">
      <w:pPr>
        <w:jc w:val="right"/>
        <w:rPr>
          <w:sz w:val="24"/>
          <w:szCs w:val="24"/>
        </w:rPr>
      </w:pPr>
    </w:p>
    <w:p w:rsidR="00C356EA" w:rsidRDefault="006E7534" w:rsidP="006E7534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6B394F" w:rsidRDefault="0043020A">
      <w:pPr>
        <w:ind w:hanging="1"/>
        <w:jc w:val="center"/>
        <w:rPr>
          <w:b/>
          <w:sz w:val="24"/>
        </w:rPr>
      </w:pPr>
      <w:proofErr w:type="spellStart"/>
      <w:r>
        <w:rPr>
          <w:b/>
          <w:sz w:val="24"/>
        </w:rPr>
        <w:t>Jaciani</w:t>
      </w:r>
      <w:proofErr w:type="spellEnd"/>
      <w:r>
        <w:rPr>
          <w:b/>
          <w:sz w:val="24"/>
        </w:rPr>
        <w:t xml:space="preserve"> Carolina Milani Della Mura </w:t>
      </w:r>
    </w:p>
    <w:p w:rsidR="006B394F" w:rsidRDefault="0043020A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:rsidR="006B394F" w:rsidRDefault="0043020A" w:rsidP="00923FFE">
      <w:pPr>
        <w:jc w:val="center"/>
        <w:rPr>
          <w:sz w:val="24"/>
        </w:rPr>
      </w:pPr>
      <w:r>
        <w:rPr>
          <w:sz w:val="24"/>
        </w:rPr>
        <w:t>CRC-PR-061045/O-4</w:t>
      </w:r>
      <w:bookmarkStart w:id="0" w:name="_GoBack"/>
      <w:bookmarkEnd w:id="0"/>
    </w:p>
    <w:p w:rsidR="006B394F" w:rsidRDefault="006B394F">
      <w:pPr>
        <w:jc w:val="center"/>
        <w:rPr>
          <w:sz w:val="24"/>
        </w:rPr>
      </w:pPr>
    </w:p>
    <w:sectPr w:rsidR="006B394F">
      <w:headerReference w:type="default" r:id="rId8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A5" w:rsidRDefault="00D379A5">
      <w:r>
        <w:separator/>
      </w:r>
    </w:p>
  </w:endnote>
  <w:endnote w:type="continuationSeparator" w:id="0">
    <w:p w:rsidR="00D379A5" w:rsidRDefault="00D3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A5" w:rsidRDefault="00D379A5">
      <w:r>
        <w:separator/>
      </w:r>
    </w:p>
  </w:footnote>
  <w:footnote w:type="continuationSeparator" w:id="0">
    <w:p w:rsidR="00D379A5" w:rsidRDefault="00D3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94F" w:rsidRDefault="0043020A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94F" w:rsidRDefault="0043020A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pt;height:8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27294010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394F" w:rsidRDefault="0043020A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5pt;height:81.1pt;visibility:visible;mso-wrap-distance-right:0" o:ole="">
                          <v:imagedata r:id="rId3" o:title=""/>
                        </v:shape>
                        <o:OLEObject Type="Embed" ProgID="PBrush" ShapeID="ole_rId1" DrawAspect="Content" ObjectID="_1820138606" r:id="rId4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394F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394F" w:rsidRDefault="006B394F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394F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394F" w:rsidRDefault="006B394F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A07A5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EF6D6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  <w:ind w:left="142"/>
    </w:pP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4F"/>
    <w:rsid w:val="0007382D"/>
    <w:rsid w:val="000F5F23"/>
    <w:rsid w:val="000F78C7"/>
    <w:rsid w:val="00181B66"/>
    <w:rsid w:val="001C3CE2"/>
    <w:rsid w:val="002841CC"/>
    <w:rsid w:val="00321CF9"/>
    <w:rsid w:val="00362FFC"/>
    <w:rsid w:val="003B51F2"/>
    <w:rsid w:val="0043020A"/>
    <w:rsid w:val="0043190C"/>
    <w:rsid w:val="0055037A"/>
    <w:rsid w:val="00673CC5"/>
    <w:rsid w:val="00681501"/>
    <w:rsid w:val="006B314C"/>
    <w:rsid w:val="006B394F"/>
    <w:rsid w:val="006E7534"/>
    <w:rsid w:val="00710FDE"/>
    <w:rsid w:val="007F6F89"/>
    <w:rsid w:val="008264D8"/>
    <w:rsid w:val="00906D0A"/>
    <w:rsid w:val="00923FFE"/>
    <w:rsid w:val="00933984"/>
    <w:rsid w:val="0095051D"/>
    <w:rsid w:val="009625F5"/>
    <w:rsid w:val="009B1E1D"/>
    <w:rsid w:val="009C3584"/>
    <w:rsid w:val="009D5E26"/>
    <w:rsid w:val="009E5B46"/>
    <w:rsid w:val="00A07A5D"/>
    <w:rsid w:val="00A3728A"/>
    <w:rsid w:val="00A37D8B"/>
    <w:rsid w:val="00A43951"/>
    <w:rsid w:val="00AC386E"/>
    <w:rsid w:val="00B13654"/>
    <w:rsid w:val="00B558B2"/>
    <w:rsid w:val="00C356EA"/>
    <w:rsid w:val="00D379A5"/>
    <w:rsid w:val="00DD6606"/>
    <w:rsid w:val="00E73840"/>
    <w:rsid w:val="00E74821"/>
    <w:rsid w:val="00F914E8"/>
    <w:rsid w:val="00F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8B05E-4F0F-4617-A6CD-5F5B80C1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qFormat/>
    <w:rsid w:val="008264D8"/>
    <w:pPr>
      <w:widowControl w:val="0"/>
      <w:suppressLineNumbers/>
      <w:spacing w:line="1" w:lineRule="atLeast"/>
      <w:ind w:left="-1" w:hanging="1"/>
      <w:textAlignment w:val="top"/>
      <w:outlineLvl w:val="0"/>
    </w:pPr>
    <w:rPr>
      <w:position w:val="-1"/>
      <w:sz w:val="24"/>
      <w:szCs w:val="24"/>
    </w:rPr>
  </w:style>
  <w:style w:type="paragraph" w:customStyle="1" w:styleId="TableContents">
    <w:name w:val="Table Contents"/>
    <w:basedOn w:val="Normal"/>
    <w:rsid w:val="00B13654"/>
    <w:pPr>
      <w:widowControl w:val="0"/>
      <w:suppressLineNumbers/>
      <w:autoSpaceDN w:val="0"/>
      <w:spacing w:line="1" w:lineRule="atLeast"/>
      <w:ind w:left="-1" w:hanging="1"/>
      <w:textAlignment w:val="top"/>
      <w:outlineLv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C1274D-6BF6-4BF6-AE6A-9E972085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6</cp:revision>
  <cp:lastPrinted>2025-11-25T17:58:00Z</cp:lastPrinted>
  <dcterms:created xsi:type="dcterms:W3CDTF">2025-11-03T19:33:00Z</dcterms:created>
  <dcterms:modified xsi:type="dcterms:W3CDTF">2025-12-15T11:54:00Z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